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3B" w:rsidRDefault="0032623B" w:rsidP="003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i/>
          <w:iCs/>
          <w:color w:val="000000" w:themeColor="text1"/>
          <w:u w:val="single"/>
        </w:rPr>
      </w:pPr>
      <w:r w:rsidRPr="00315654">
        <w:rPr>
          <w:rFonts w:cs="Arial"/>
          <w:b/>
          <w:bCs/>
          <w:i/>
          <w:iCs/>
          <w:color w:val="000000" w:themeColor="text1"/>
          <w:u w:val="single"/>
        </w:rPr>
        <w:t>Workshop Objective</w:t>
      </w:r>
    </w:p>
    <w:p w:rsidR="005668E0" w:rsidRPr="005668E0" w:rsidRDefault="00282A3A" w:rsidP="0056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</w:rPr>
      </w:pPr>
      <w:r w:rsidRPr="00282A3A">
        <w:rPr>
          <w:rFonts w:cs="Arial"/>
          <w:color w:val="000000" w:themeColor="text1"/>
          <w:lang w:val="en-US"/>
        </w:rPr>
        <w:t xml:space="preserve">To enable </w:t>
      </w:r>
      <w:r w:rsidR="005668E0">
        <w:rPr>
          <w:rFonts w:cs="Arial"/>
          <w:color w:val="000000" w:themeColor="text1"/>
          <w:lang w:val="en-US"/>
        </w:rPr>
        <w:t>local NGOs</w:t>
      </w:r>
      <w:r w:rsidR="00386CD5">
        <w:rPr>
          <w:rFonts w:cs="Arial"/>
          <w:color w:val="000000" w:themeColor="text1"/>
          <w:lang w:val="en-US"/>
        </w:rPr>
        <w:t xml:space="preserve"> </w:t>
      </w:r>
      <w:r w:rsidRPr="00282A3A">
        <w:rPr>
          <w:rFonts w:cs="Arial"/>
          <w:color w:val="000000" w:themeColor="text1"/>
          <w:lang w:val="en-US"/>
        </w:rPr>
        <w:t xml:space="preserve">to co-design </w:t>
      </w:r>
      <w:r w:rsidR="005668E0">
        <w:rPr>
          <w:rFonts w:cs="Arial"/>
          <w:color w:val="000000" w:themeColor="text1"/>
          <w:lang w:val="en-US"/>
        </w:rPr>
        <w:t xml:space="preserve">a </w:t>
      </w:r>
      <w:r w:rsidR="005668E0" w:rsidRPr="005668E0">
        <w:rPr>
          <w:rFonts w:cs="Arial"/>
          <w:color w:val="000000" w:themeColor="text1"/>
          <w:lang w:val="en-US"/>
        </w:rPr>
        <w:t xml:space="preserve">comprehensive approach for supporting crisis-affected communities to lead and manage their own immediate emergency “well-being” responses in ways that can strengthen long term resilience …and </w:t>
      </w:r>
      <w:r w:rsidR="0019100B">
        <w:rPr>
          <w:rFonts w:cs="Arial"/>
          <w:color w:val="000000" w:themeColor="text1"/>
          <w:lang w:val="en-US"/>
        </w:rPr>
        <w:t>contribute</w:t>
      </w:r>
      <w:r w:rsidR="005668E0" w:rsidRPr="005668E0">
        <w:rPr>
          <w:rFonts w:cs="Arial"/>
          <w:color w:val="000000" w:themeColor="text1"/>
          <w:lang w:val="en-US"/>
        </w:rPr>
        <w:t xml:space="preserve"> to transformational change.</w:t>
      </w:r>
      <w:r w:rsidR="005668E0" w:rsidRPr="005668E0">
        <w:rPr>
          <w:rFonts w:cs="Arial"/>
          <w:color w:val="000000" w:themeColor="text1"/>
        </w:rPr>
        <w:t xml:space="preserve"> </w:t>
      </w:r>
    </w:p>
    <w:p w:rsidR="00282A3A" w:rsidRPr="00282A3A" w:rsidRDefault="00282A3A" w:rsidP="00282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 w:themeColor="text1"/>
        </w:rPr>
      </w:pPr>
      <w:r w:rsidRPr="00282A3A">
        <w:rPr>
          <w:rFonts w:cs="Arial"/>
          <w:color w:val="000000" w:themeColor="text1"/>
          <w:lang w:val="en-US"/>
        </w:rPr>
        <w:t>To help all participants develop the capacities, skills, plans and relationships needed for testing in practice after the workshop.</w:t>
      </w:r>
      <w:r w:rsidRPr="00282A3A">
        <w:rPr>
          <w:rFonts w:cs="Arial"/>
          <w:color w:val="000000" w:themeColor="text1"/>
        </w:rPr>
        <w:t xml:space="preserve"> </w:t>
      </w:r>
    </w:p>
    <w:p w:rsidR="00315654" w:rsidRPr="00315654" w:rsidRDefault="00315654" w:rsidP="0031565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120"/>
        <w:ind w:left="360"/>
        <w:rPr>
          <w:b/>
          <w:u w:val="single"/>
        </w:rPr>
      </w:pPr>
      <w:r w:rsidRPr="00315654">
        <w:rPr>
          <w:b/>
          <w:u w:val="single"/>
        </w:rPr>
        <w:t>Key steps of the process</w:t>
      </w:r>
    </w:p>
    <w:p w:rsidR="00B340D8" w:rsidRPr="00315654" w:rsidRDefault="00525118" w:rsidP="007020C9">
      <w:pPr>
        <w:numPr>
          <w:ilvl w:val="0"/>
          <w:numId w:val="3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</w:pPr>
      <w:r w:rsidRPr="00315654">
        <w:rPr>
          <w:lang w:val="en-US"/>
        </w:rPr>
        <w:t>Introducing concepts to key stakeholders</w:t>
      </w:r>
    </w:p>
    <w:p w:rsidR="00B340D8" w:rsidRPr="00315654" w:rsidRDefault="00525118" w:rsidP="007020C9">
      <w:pPr>
        <w:numPr>
          <w:ilvl w:val="0"/>
          <w:numId w:val="3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</w:pPr>
      <w:r w:rsidRPr="00315654">
        <w:rPr>
          <w:lang w:val="en-US"/>
        </w:rPr>
        <w:t xml:space="preserve">Developing </w:t>
      </w:r>
      <w:r w:rsidR="00D00A4F">
        <w:rPr>
          <w:lang w:val="en-US"/>
        </w:rPr>
        <w:t xml:space="preserve">and co-design </w:t>
      </w:r>
      <w:r w:rsidRPr="00315654">
        <w:rPr>
          <w:lang w:val="en-US"/>
        </w:rPr>
        <w:t>prototype methodologies</w:t>
      </w:r>
    </w:p>
    <w:p w:rsidR="00B340D8" w:rsidRPr="00315654" w:rsidRDefault="00525118" w:rsidP="007020C9">
      <w:pPr>
        <w:numPr>
          <w:ilvl w:val="0"/>
          <w:numId w:val="3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</w:pPr>
      <w:r w:rsidRPr="00315654">
        <w:rPr>
          <w:lang w:val="en-US"/>
        </w:rPr>
        <w:t>…testing them in practice</w:t>
      </w:r>
      <w:r w:rsidR="00D00A4F">
        <w:rPr>
          <w:lang w:val="en-US"/>
        </w:rPr>
        <w:t xml:space="preserve"> (learning by doing)</w:t>
      </w:r>
    </w:p>
    <w:p w:rsidR="00B340D8" w:rsidRPr="00315654" w:rsidRDefault="00525118" w:rsidP="007020C9">
      <w:pPr>
        <w:numPr>
          <w:ilvl w:val="0"/>
          <w:numId w:val="3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</w:pPr>
      <w:r w:rsidRPr="00315654">
        <w:rPr>
          <w:lang w:val="en-US"/>
        </w:rPr>
        <w:t xml:space="preserve">Capturing lessons </w:t>
      </w:r>
    </w:p>
    <w:p w:rsidR="00B340D8" w:rsidRPr="00D00A4F" w:rsidRDefault="00525118" w:rsidP="007020C9">
      <w:pPr>
        <w:numPr>
          <w:ilvl w:val="0"/>
          <w:numId w:val="3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</w:pPr>
      <w:r w:rsidRPr="00315654">
        <w:rPr>
          <w:lang w:val="en-US"/>
        </w:rPr>
        <w:t>Refining methodologies</w:t>
      </w:r>
    </w:p>
    <w:p w:rsidR="00D00A4F" w:rsidRPr="00315654" w:rsidRDefault="00D00A4F" w:rsidP="007020C9">
      <w:pPr>
        <w:numPr>
          <w:ilvl w:val="0"/>
          <w:numId w:val="3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</w:pPr>
      <w:r>
        <w:t>Local ownership of final approach (no INGO branding)</w:t>
      </w:r>
    </w:p>
    <w:p w:rsidR="00B340D8" w:rsidRPr="00315654" w:rsidRDefault="00525118" w:rsidP="007020C9">
      <w:pPr>
        <w:numPr>
          <w:ilvl w:val="0"/>
          <w:numId w:val="3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</w:pPr>
      <w:r w:rsidRPr="00315654">
        <w:rPr>
          <w:lang w:val="en-US"/>
        </w:rPr>
        <w:t>Expand application and advocacy</w:t>
      </w:r>
    </w:p>
    <w:p w:rsidR="00B340D8" w:rsidRPr="00315654" w:rsidRDefault="00525118" w:rsidP="007020C9">
      <w:pPr>
        <w:numPr>
          <w:ilvl w:val="0"/>
          <w:numId w:val="3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</w:pPr>
      <w:r w:rsidRPr="00315654">
        <w:rPr>
          <w:lang w:val="en-US"/>
        </w:rPr>
        <w:t>Contribute to wider evidence base for change</w:t>
      </w:r>
    </w:p>
    <w:p w:rsidR="00315654" w:rsidRPr="00315654" w:rsidRDefault="00315654" w:rsidP="00282A3A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(not a one-off-project – start of a long</w:t>
      </w:r>
      <w:r w:rsidR="00973E02">
        <w:t>-</w:t>
      </w:r>
      <w:r>
        <w:t>term process to change humanitarian programming</w:t>
      </w:r>
      <w:r w:rsidR="00282A3A">
        <w:t>)</w:t>
      </w:r>
    </w:p>
    <w:p w:rsidR="00315654" w:rsidRPr="00315654" w:rsidRDefault="00315654" w:rsidP="0032623B">
      <w:pPr>
        <w:spacing w:after="120"/>
        <w:rPr>
          <w:b/>
          <w:lang w:val="en-US"/>
        </w:rPr>
      </w:pPr>
    </w:p>
    <w:p w:rsidR="00DC3335" w:rsidRPr="0052536B" w:rsidRDefault="00DC3335" w:rsidP="00DC3335">
      <w:pPr>
        <w:spacing w:line="240" w:lineRule="auto"/>
        <w:rPr>
          <w:b/>
        </w:rPr>
      </w:pPr>
      <w:r w:rsidRPr="0052536B">
        <w:rPr>
          <w:b/>
        </w:rPr>
        <w:t>Proposed schedule</w:t>
      </w:r>
    </w:p>
    <w:p w:rsidR="00DC3335" w:rsidRPr="0052536B" w:rsidRDefault="00DC3335" w:rsidP="00DC3335">
      <w:pPr>
        <w:spacing w:after="0"/>
        <w:jc w:val="both"/>
        <w:rPr>
          <w:bCs/>
          <w:u w:val="single"/>
        </w:rPr>
      </w:pPr>
      <w:r w:rsidRPr="0052536B">
        <w:rPr>
          <w:bCs/>
          <w:u w:val="single"/>
        </w:rPr>
        <w:t xml:space="preserve">Day 1   </w:t>
      </w:r>
    </w:p>
    <w:p w:rsidR="00DC3335" w:rsidRPr="004C122D" w:rsidRDefault="00DC3335" w:rsidP="00DC3335">
      <w:pPr>
        <w:pStyle w:val="ListParagraph"/>
        <w:numPr>
          <w:ilvl w:val="1"/>
          <w:numId w:val="36"/>
        </w:numPr>
        <w:spacing w:after="0"/>
        <w:ind w:left="360"/>
        <w:jc w:val="both"/>
        <w:rPr>
          <w:bCs/>
        </w:rPr>
      </w:pPr>
      <w:r w:rsidRPr="004C122D">
        <w:rPr>
          <w:bCs/>
        </w:rPr>
        <w:t xml:space="preserve">Introductions, objectives </w:t>
      </w:r>
    </w:p>
    <w:p w:rsidR="00DC3335" w:rsidRPr="004C122D" w:rsidRDefault="00DC3335" w:rsidP="00DC3335">
      <w:pPr>
        <w:pStyle w:val="ListParagraph"/>
        <w:numPr>
          <w:ilvl w:val="1"/>
          <w:numId w:val="36"/>
        </w:numPr>
        <w:ind w:left="360"/>
        <w:jc w:val="both"/>
        <w:rPr>
          <w:bCs/>
        </w:rPr>
      </w:pPr>
      <w:r w:rsidRPr="004C122D">
        <w:rPr>
          <w:bCs/>
        </w:rPr>
        <w:t>LPRR research</w:t>
      </w:r>
      <w:r w:rsidRPr="004C122D">
        <w:t xml:space="preserve"> </w:t>
      </w:r>
    </w:p>
    <w:p w:rsidR="00DC3335" w:rsidRPr="004C122D" w:rsidRDefault="00DC3335" w:rsidP="00DC3335">
      <w:pPr>
        <w:pStyle w:val="ListParagraph"/>
        <w:numPr>
          <w:ilvl w:val="1"/>
          <w:numId w:val="36"/>
        </w:numPr>
        <w:spacing w:line="240" w:lineRule="auto"/>
        <w:ind w:left="360"/>
        <w:jc w:val="both"/>
        <w:rPr>
          <w:bCs/>
        </w:rPr>
      </w:pPr>
      <w:r>
        <w:rPr>
          <w:bCs/>
        </w:rPr>
        <w:t>Identifying the c</w:t>
      </w:r>
      <w:r w:rsidRPr="004C122D">
        <w:rPr>
          <w:bCs/>
        </w:rPr>
        <w:t>omponents of an emerging practice</w:t>
      </w:r>
      <w:r w:rsidRPr="004C122D">
        <w:t xml:space="preserve"> </w:t>
      </w:r>
      <w:r>
        <w:t>for supporting</w:t>
      </w:r>
      <w:bookmarkStart w:id="0" w:name="_GoBack"/>
      <w:bookmarkEnd w:id="0"/>
      <w:r>
        <w:t xml:space="preserve"> communities to lead their own holistic response to crises </w:t>
      </w:r>
      <w:r w:rsidRPr="004C122D">
        <w:rPr>
          <w:lang w:val="en-US"/>
        </w:rPr>
        <w:t>in ways that can strengthen long term resilience …</w:t>
      </w:r>
      <w:r w:rsidR="00973E02">
        <w:rPr>
          <w:lang w:val="en-US"/>
        </w:rPr>
        <w:t xml:space="preserve"> </w:t>
      </w:r>
      <w:r w:rsidRPr="004C122D">
        <w:rPr>
          <w:lang w:val="en-US"/>
        </w:rPr>
        <w:t>and accelerate transformational change</w:t>
      </w:r>
    </w:p>
    <w:p w:rsidR="00DC3335" w:rsidRPr="0052536B" w:rsidRDefault="00DC3335" w:rsidP="00DC3335">
      <w:pPr>
        <w:spacing w:after="0"/>
        <w:jc w:val="both"/>
        <w:rPr>
          <w:bCs/>
          <w:u w:val="single"/>
        </w:rPr>
      </w:pPr>
      <w:r w:rsidRPr="0052536B">
        <w:rPr>
          <w:bCs/>
          <w:u w:val="single"/>
        </w:rPr>
        <w:t xml:space="preserve">Day 2    </w:t>
      </w:r>
    </w:p>
    <w:p w:rsidR="00DC3335" w:rsidRDefault="00DC3335" w:rsidP="00DC3335">
      <w:pPr>
        <w:pStyle w:val="ListParagraph"/>
        <w:numPr>
          <w:ilvl w:val="1"/>
          <w:numId w:val="37"/>
        </w:numPr>
        <w:jc w:val="both"/>
      </w:pPr>
      <w:r w:rsidRPr="004C122D">
        <w:rPr>
          <w:bCs/>
        </w:rPr>
        <w:t>Exploring the Underlying psycho-social nature of the response</w:t>
      </w:r>
      <w:r w:rsidRPr="004C122D">
        <w:t xml:space="preserve"> </w:t>
      </w:r>
    </w:p>
    <w:p w:rsidR="00DC3335" w:rsidRPr="004C122D" w:rsidRDefault="00DC3335" w:rsidP="00DC3335">
      <w:pPr>
        <w:pStyle w:val="ListParagraph"/>
        <w:numPr>
          <w:ilvl w:val="1"/>
          <w:numId w:val="37"/>
        </w:numPr>
        <w:spacing w:after="120"/>
        <w:jc w:val="both"/>
      </w:pPr>
      <w:r w:rsidRPr="004C122D">
        <w:rPr>
          <w:bCs/>
        </w:rPr>
        <w:t xml:space="preserve">Development of </w:t>
      </w:r>
      <w:r>
        <w:rPr>
          <w:bCs/>
        </w:rPr>
        <w:t xml:space="preserve">all </w:t>
      </w:r>
      <w:r w:rsidRPr="004C122D">
        <w:rPr>
          <w:bCs/>
        </w:rPr>
        <w:t>systems</w:t>
      </w:r>
      <w:r>
        <w:rPr>
          <w:bCs/>
        </w:rPr>
        <w:t xml:space="preserve">, procedures and formats to allow rapid disbursement of </w:t>
      </w:r>
      <w:r w:rsidRPr="004C122D">
        <w:rPr>
          <w:bCs/>
        </w:rPr>
        <w:t xml:space="preserve"> mi</w:t>
      </w:r>
      <w:r>
        <w:rPr>
          <w:bCs/>
        </w:rPr>
        <w:t xml:space="preserve">cro-grants for </w:t>
      </w:r>
      <w:r w:rsidRPr="004C122D">
        <w:rPr>
          <w:bCs/>
        </w:rPr>
        <w:t>locally-led  crisis responses</w:t>
      </w:r>
      <w:r w:rsidRPr="004C122D">
        <w:t xml:space="preserve"> </w:t>
      </w:r>
    </w:p>
    <w:p w:rsidR="00DC3335" w:rsidRPr="0052536B" w:rsidRDefault="00DC3335" w:rsidP="00DC3335">
      <w:pPr>
        <w:spacing w:after="0"/>
        <w:jc w:val="both"/>
        <w:rPr>
          <w:bCs/>
          <w:u w:val="single"/>
        </w:rPr>
      </w:pPr>
      <w:r w:rsidRPr="0052536B">
        <w:rPr>
          <w:bCs/>
          <w:u w:val="single"/>
        </w:rPr>
        <w:t>Day 3:</w:t>
      </w:r>
    </w:p>
    <w:p w:rsidR="00DC3335" w:rsidRPr="0052536B" w:rsidRDefault="00DC3335" w:rsidP="00DC3335">
      <w:pPr>
        <w:pStyle w:val="ListParagraph"/>
        <w:numPr>
          <w:ilvl w:val="1"/>
          <w:numId w:val="38"/>
        </w:numPr>
        <w:jc w:val="both"/>
        <w:rPr>
          <w:bCs/>
        </w:rPr>
      </w:pPr>
      <w:r w:rsidRPr="0052536B">
        <w:rPr>
          <w:bCs/>
        </w:rPr>
        <w:t xml:space="preserve"> Community micro-grants for emergencies continued</w:t>
      </w:r>
    </w:p>
    <w:p w:rsidR="00DC3335" w:rsidRPr="0052536B" w:rsidRDefault="00DC3335" w:rsidP="00DC3335">
      <w:pPr>
        <w:pStyle w:val="ListParagraph"/>
        <w:numPr>
          <w:ilvl w:val="1"/>
          <w:numId w:val="38"/>
        </w:numPr>
        <w:spacing w:line="240" w:lineRule="auto"/>
        <w:jc w:val="both"/>
        <w:rPr>
          <w:bCs/>
        </w:rPr>
      </w:pPr>
      <w:r w:rsidRPr="0052536B">
        <w:rPr>
          <w:bCs/>
        </w:rPr>
        <w:t>Developing and facilitating systems for participatory analysis and information management in emergencies (that allow Inclusive, holistic, accountable, conflict sensitive and  coordinated  community-led responses)</w:t>
      </w:r>
    </w:p>
    <w:p w:rsidR="00DC3335" w:rsidRDefault="00DC3335" w:rsidP="00DC3335">
      <w:pPr>
        <w:spacing w:after="0"/>
        <w:jc w:val="both"/>
        <w:rPr>
          <w:bCs/>
          <w:u w:val="single"/>
        </w:rPr>
      </w:pPr>
      <w:r w:rsidRPr="0052536B">
        <w:rPr>
          <w:bCs/>
          <w:u w:val="single"/>
        </w:rPr>
        <w:t>Day 4</w:t>
      </w:r>
    </w:p>
    <w:p w:rsidR="00DC3335" w:rsidRDefault="00DC3335" w:rsidP="00DC3335">
      <w:pPr>
        <w:pStyle w:val="ListParagraph"/>
        <w:numPr>
          <w:ilvl w:val="1"/>
          <w:numId w:val="35"/>
        </w:numPr>
        <w:ind w:left="360"/>
        <w:jc w:val="both"/>
      </w:pPr>
      <w:r w:rsidRPr="0052536B">
        <w:rPr>
          <w:bCs/>
        </w:rPr>
        <w:t xml:space="preserve"> Psycho-social first aid</w:t>
      </w:r>
      <w:r w:rsidRPr="004C122D">
        <w:t xml:space="preserve"> </w:t>
      </w:r>
    </w:p>
    <w:p w:rsidR="00DC3335" w:rsidRPr="004C122D" w:rsidRDefault="00DC3335" w:rsidP="00DC3335">
      <w:pPr>
        <w:pStyle w:val="ListParagraph"/>
        <w:numPr>
          <w:ilvl w:val="1"/>
          <w:numId w:val="35"/>
        </w:numPr>
        <w:spacing w:after="120"/>
        <w:ind w:left="360"/>
        <w:contextualSpacing w:val="0"/>
        <w:jc w:val="both"/>
      </w:pPr>
      <w:r w:rsidRPr="0052536B">
        <w:rPr>
          <w:bCs/>
        </w:rPr>
        <w:t>Community protection and conflict transformation</w:t>
      </w:r>
      <w:r w:rsidRPr="004C122D">
        <w:t xml:space="preserve"> </w:t>
      </w:r>
    </w:p>
    <w:p w:rsidR="00DC3335" w:rsidRDefault="00DC3335" w:rsidP="00DC3335">
      <w:pPr>
        <w:pStyle w:val="ListParagraph"/>
        <w:ind w:left="0"/>
        <w:jc w:val="both"/>
        <w:rPr>
          <w:bCs/>
        </w:rPr>
      </w:pPr>
      <w:r w:rsidRPr="0052536B">
        <w:rPr>
          <w:bCs/>
          <w:u w:val="single"/>
        </w:rPr>
        <w:t>Day5</w:t>
      </w:r>
      <w:r>
        <w:rPr>
          <w:bCs/>
        </w:rPr>
        <w:t xml:space="preserve">    </w:t>
      </w:r>
    </w:p>
    <w:p w:rsidR="00DC3335" w:rsidRPr="0052536B" w:rsidRDefault="00DC3335" w:rsidP="00DC3335">
      <w:pPr>
        <w:pStyle w:val="ListParagraph"/>
        <w:numPr>
          <w:ilvl w:val="1"/>
          <w:numId w:val="39"/>
        </w:numPr>
        <w:jc w:val="both"/>
      </w:pPr>
      <w:r>
        <w:rPr>
          <w:bCs/>
        </w:rPr>
        <w:t>Su</w:t>
      </w:r>
      <w:r w:rsidR="00973E02">
        <w:rPr>
          <w:bCs/>
        </w:rPr>
        <w:t>p</w:t>
      </w:r>
      <w:r>
        <w:rPr>
          <w:bCs/>
        </w:rPr>
        <w:t>porting survivors to start t</w:t>
      </w:r>
      <w:r w:rsidRPr="004C122D">
        <w:rPr>
          <w:bCs/>
        </w:rPr>
        <w:t>ackling roots causes</w:t>
      </w:r>
      <w:r>
        <w:rPr>
          <w:bCs/>
        </w:rPr>
        <w:t xml:space="preserve"> of crises</w:t>
      </w:r>
      <w:r w:rsidRPr="004C122D">
        <w:rPr>
          <w:bCs/>
        </w:rPr>
        <w:t>,</w:t>
      </w:r>
      <w:r>
        <w:rPr>
          <w:bCs/>
        </w:rPr>
        <w:t xml:space="preserve"> strengthen </w:t>
      </w:r>
      <w:r w:rsidRPr="004C122D">
        <w:rPr>
          <w:bCs/>
        </w:rPr>
        <w:t>livelihoods</w:t>
      </w:r>
      <w:r>
        <w:rPr>
          <w:bCs/>
        </w:rPr>
        <w:t>, advocacy</w:t>
      </w:r>
    </w:p>
    <w:p w:rsidR="00DC3335" w:rsidRPr="0052536B" w:rsidRDefault="00DC3335" w:rsidP="00DC3335">
      <w:pPr>
        <w:pStyle w:val="ListParagraph"/>
        <w:numPr>
          <w:ilvl w:val="1"/>
          <w:numId w:val="39"/>
        </w:numPr>
        <w:jc w:val="both"/>
      </w:pPr>
      <w:r>
        <w:rPr>
          <w:bCs/>
        </w:rPr>
        <w:t xml:space="preserve">Establishing demand-led, local coordination systems </w:t>
      </w:r>
      <w:r w:rsidRPr="0052536B">
        <w:rPr>
          <w:bCs/>
        </w:rPr>
        <w:t xml:space="preserve"> </w:t>
      </w:r>
    </w:p>
    <w:p w:rsidR="00DC3335" w:rsidRPr="004C122D" w:rsidRDefault="00DC3335" w:rsidP="00DC3335">
      <w:pPr>
        <w:pStyle w:val="ListParagraph"/>
        <w:numPr>
          <w:ilvl w:val="1"/>
          <w:numId w:val="39"/>
        </w:numPr>
        <w:spacing w:after="120"/>
        <w:contextualSpacing w:val="0"/>
        <w:jc w:val="both"/>
      </w:pPr>
      <w:r w:rsidRPr="0052536B">
        <w:rPr>
          <w:bCs/>
        </w:rPr>
        <w:t>roles of duty bearers and communication</w:t>
      </w:r>
      <w:r w:rsidRPr="004C122D">
        <w:t xml:space="preserve"> </w:t>
      </w:r>
    </w:p>
    <w:p w:rsidR="00DC3335" w:rsidRPr="0052536B" w:rsidRDefault="00DC3335" w:rsidP="00DC3335">
      <w:pPr>
        <w:pStyle w:val="ListParagraph"/>
        <w:ind w:left="0"/>
        <w:jc w:val="both"/>
        <w:rPr>
          <w:bCs/>
          <w:u w:val="single"/>
        </w:rPr>
      </w:pPr>
      <w:r w:rsidRPr="0052536B">
        <w:rPr>
          <w:bCs/>
          <w:u w:val="single"/>
        </w:rPr>
        <w:t xml:space="preserve">Day 6   </w:t>
      </w:r>
    </w:p>
    <w:p w:rsidR="00DC3335" w:rsidRDefault="00DC3335" w:rsidP="00DC3335">
      <w:pPr>
        <w:pStyle w:val="ListParagraph"/>
        <w:numPr>
          <w:ilvl w:val="1"/>
          <w:numId w:val="40"/>
        </w:numPr>
        <w:jc w:val="both"/>
        <w:rPr>
          <w:bCs/>
        </w:rPr>
      </w:pPr>
      <w:r w:rsidRPr="0052536B">
        <w:rPr>
          <w:bCs/>
        </w:rPr>
        <w:t>Recap and consolidation, and filling in the gaps</w:t>
      </w:r>
    </w:p>
    <w:p w:rsidR="00DC3335" w:rsidRPr="0052536B" w:rsidRDefault="00DC3335" w:rsidP="00DC3335">
      <w:pPr>
        <w:pStyle w:val="ListParagraph"/>
        <w:numPr>
          <w:ilvl w:val="1"/>
          <w:numId w:val="40"/>
        </w:numPr>
        <w:jc w:val="both"/>
        <w:rPr>
          <w:bCs/>
        </w:rPr>
      </w:pPr>
      <w:r w:rsidRPr="0052536B">
        <w:rPr>
          <w:bCs/>
        </w:rPr>
        <w:t xml:space="preserve">Planning the pilots and follow-up </w:t>
      </w:r>
    </w:p>
    <w:p w:rsidR="00315654" w:rsidRPr="00973E02" w:rsidRDefault="00315654" w:rsidP="00BB37AF">
      <w:pPr>
        <w:spacing w:after="240" w:line="240" w:lineRule="auto"/>
        <w:rPr>
          <w:b/>
        </w:rPr>
      </w:pPr>
      <w:r w:rsidRPr="00973E02">
        <w:rPr>
          <w:b/>
        </w:rPr>
        <w:lastRenderedPageBreak/>
        <w:t>Possible Core components of an emerging practice for</w:t>
      </w:r>
      <w:r w:rsidR="0066372C" w:rsidRPr="00973E02">
        <w:rPr>
          <w:b/>
        </w:rPr>
        <w:t xml:space="preserve"> </w:t>
      </w:r>
      <w:r w:rsidRPr="00973E02">
        <w:rPr>
          <w:b/>
        </w:rPr>
        <w:t>supporting communities to lead their own crisis response</w:t>
      </w:r>
    </w:p>
    <w:p w:rsidR="00DC3335" w:rsidRPr="00973E02" w:rsidRDefault="00DC3335" w:rsidP="00BB37AF">
      <w:pPr>
        <w:spacing w:after="240" w:line="240" w:lineRule="auto"/>
        <w:rPr>
          <w:b/>
        </w:rPr>
      </w:pPr>
    </w:p>
    <w:p w:rsidR="00707BB0" w:rsidRPr="00973E02" w:rsidRDefault="005A360C" w:rsidP="00973E02">
      <w:pPr>
        <w:pStyle w:val="ListParagraph"/>
        <w:numPr>
          <w:ilvl w:val="0"/>
          <w:numId w:val="31"/>
        </w:numPr>
        <w:spacing w:after="240" w:line="240" w:lineRule="auto"/>
        <w:ind w:left="426"/>
        <w:contextualSpacing w:val="0"/>
      </w:pPr>
      <w:r w:rsidRPr="00973E02">
        <w:t>Community-owned processes for rapid situation analysis, information-management and learning that prioritises building on existing capacities and strengthening opportunities for self-help ...as well as gap analysis, mobilisation, inclusion and trust building</w:t>
      </w:r>
      <w:r w:rsidR="00DC3335" w:rsidRPr="00973E02">
        <w:t xml:space="preserve"> (PALC – Participatory Action Learning in Crises)</w:t>
      </w:r>
    </w:p>
    <w:p w:rsidR="00707BB0" w:rsidRPr="00973E02" w:rsidRDefault="005A360C" w:rsidP="00973E02">
      <w:pPr>
        <w:pStyle w:val="ListParagraph"/>
        <w:numPr>
          <w:ilvl w:val="0"/>
          <w:numId w:val="31"/>
        </w:numPr>
        <w:spacing w:after="240" w:line="240" w:lineRule="auto"/>
        <w:ind w:left="426"/>
        <w:contextualSpacing w:val="0"/>
      </w:pPr>
      <w:r w:rsidRPr="00973E02">
        <w:t>Systems for rapid, inclusive and conflict-sensitive use of community micro-grants to support and promote survivor-led collective responses where markets allow – to support genuine self-help and initiate more sustainable change without dependency.</w:t>
      </w:r>
    </w:p>
    <w:p w:rsidR="00707BB0" w:rsidRPr="00973E02" w:rsidRDefault="005A360C" w:rsidP="00973E02">
      <w:pPr>
        <w:pStyle w:val="ListParagraph"/>
        <w:numPr>
          <w:ilvl w:val="0"/>
          <w:numId w:val="31"/>
        </w:numPr>
        <w:spacing w:after="240" w:line="240" w:lineRule="auto"/>
        <w:ind w:left="426"/>
        <w:contextualSpacing w:val="0"/>
      </w:pPr>
      <w:r w:rsidRPr="00973E02">
        <w:t>Rapid provision of demand-led skills training:</w:t>
      </w:r>
    </w:p>
    <w:p w:rsidR="0066372C" w:rsidRPr="00973E02" w:rsidRDefault="0066372C" w:rsidP="00973E02">
      <w:pPr>
        <w:pStyle w:val="ListParagraph"/>
        <w:spacing w:after="240" w:line="240" w:lineRule="auto"/>
        <w:ind w:left="426"/>
        <w:contextualSpacing w:val="0"/>
      </w:pPr>
      <w:r w:rsidRPr="00973E02">
        <w:t xml:space="preserve">- </w:t>
      </w:r>
      <w:r w:rsidRPr="00973E02">
        <w:rPr>
          <w:lang w:val="en-US"/>
        </w:rPr>
        <w:t xml:space="preserve">context specific practical and management skills </w:t>
      </w:r>
    </w:p>
    <w:p w:rsidR="00BB37AF" w:rsidRPr="00973E02" w:rsidRDefault="0066372C" w:rsidP="00973E02">
      <w:pPr>
        <w:pStyle w:val="ListParagraph"/>
        <w:spacing w:after="240" w:line="240" w:lineRule="auto"/>
        <w:ind w:left="426"/>
        <w:contextualSpacing w:val="0"/>
      </w:pPr>
      <w:r w:rsidRPr="00973E02">
        <w:t xml:space="preserve">- community-based psycho-social recovery </w:t>
      </w:r>
    </w:p>
    <w:p w:rsidR="0066372C" w:rsidRPr="00973E02" w:rsidRDefault="00BB37AF" w:rsidP="00973E02">
      <w:pPr>
        <w:pStyle w:val="ListParagraph"/>
        <w:spacing w:after="240" w:line="240" w:lineRule="auto"/>
        <w:ind w:left="426"/>
        <w:contextualSpacing w:val="0"/>
      </w:pPr>
      <w:r w:rsidRPr="00973E02">
        <w:t>- c</w:t>
      </w:r>
      <w:r w:rsidR="0066372C" w:rsidRPr="00973E02">
        <w:t>ommunity-based protection, conflict sensitivity and resolution</w:t>
      </w:r>
    </w:p>
    <w:p w:rsidR="0066372C" w:rsidRPr="00973E02" w:rsidRDefault="0066372C" w:rsidP="00973E02">
      <w:pPr>
        <w:pStyle w:val="ListParagraph"/>
        <w:numPr>
          <w:ilvl w:val="0"/>
          <w:numId w:val="31"/>
        </w:numPr>
        <w:spacing w:after="240" w:line="240" w:lineRule="auto"/>
        <w:ind w:left="426"/>
        <w:contextualSpacing w:val="0"/>
      </w:pPr>
      <w:r w:rsidRPr="00973E02">
        <w:t>Locally-relevant coordination services – horizontal and vertical – that also inform external interventions - with relevant communication that promotes community-led responses and avoids labelling ...collaboration, collective decision-making, resource sharing...</w:t>
      </w:r>
    </w:p>
    <w:p w:rsidR="0066372C" w:rsidRPr="00973E02" w:rsidRDefault="0066372C" w:rsidP="00973E02">
      <w:pPr>
        <w:pStyle w:val="ListParagraph"/>
        <w:numPr>
          <w:ilvl w:val="0"/>
          <w:numId w:val="31"/>
        </w:numPr>
        <w:spacing w:after="240" w:line="240" w:lineRule="auto"/>
        <w:ind w:left="426"/>
        <w:contextualSpacing w:val="0"/>
      </w:pPr>
      <w:r w:rsidRPr="00973E02">
        <w:t>Linkages, alliances and networks for collective action between multiple actors</w:t>
      </w:r>
    </w:p>
    <w:p w:rsidR="0066372C" w:rsidRPr="00973E02" w:rsidRDefault="0066372C" w:rsidP="00973E02">
      <w:pPr>
        <w:pStyle w:val="ListParagraph"/>
        <w:numPr>
          <w:ilvl w:val="0"/>
          <w:numId w:val="31"/>
        </w:numPr>
        <w:spacing w:after="240" w:line="240" w:lineRule="auto"/>
        <w:ind w:left="426"/>
        <w:contextualSpacing w:val="0"/>
      </w:pPr>
      <w:r w:rsidRPr="00973E02">
        <w:t>Support for locally-led longer term processes to address root causes of vulnerability (advocacy, fund-raising etc), that includes provision of longer term mentoring s</w:t>
      </w:r>
      <w:r w:rsidR="00973E02" w:rsidRPr="00973E02">
        <w:t>e</w:t>
      </w:r>
      <w:r w:rsidRPr="00973E02">
        <w:t xml:space="preserve">rvices </w:t>
      </w:r>
    </w:p>
    <w:p w:rsidR="0066372C" w:rsidRPr="00973E02" w:rsidRDefault="0066372C" w:rsidP="00973E02">
      <w:pPr>
        <w:pStyle w:val="ListParagraph"/>
        <w:numPr>
          <w:ilvl w:val="0"/>
          <w:numId w:val="31"/>
        </w:numPr>
        <w:spacing w:after="240" w:line="240" w:lineRule="auto"/>
        <w:ind w:left="426"/>
        <w:contextualSpacing w:val="0"/>
      </w:pPr>
      <w:r w:rsidRPr="00973E02">
        <w:t>Advocacy for changes in institutional relationships, roles and systems that improve loca</w:t>
      </w:r>
      <w:r w:rsidR="00973E02" w:rsidRPr="00973E02">
        <w:t>l ownership and decision making</w:t>
      </w:r>
      <w:r w:rsidRPr="00973E02">
        <w:t xml:space="preserve"> and enable the link between short term response and addressing root causes (inc. funding mechanisms)</w:t>
      </w:r>
      <w:r w:rsidR="00973E02" w:rsidRPr="00973E02">
        <w:t>.</w:t>
      </w:r>
    </w:p>
    <w:p w:rsidR="0066372C" w:rsidRDefault="0066372C" w:rsidP="0066372C">
      <w:pPr>
        <w:pStyle w:val="ListParagraph"/>
        <w:ind w:left="0"/>
        <w:contextualSpacing w:val="0"/>
        <w:rPr>
          <w:sz w:val="28"/>
          <w:szCs w:val="28"/>
        </w:rPr>
      </w:pPr>
    </w:p>
    <w:p w:rsidR="00BB37AF" w:rsidRDefault="00BB37AF">
      <w:pPr>
        <w:rPr>
          <w:b/>
          <w:sz w:val="24"/>
          <w:szCs w:val="24"/>
          <w:u w:val="single"/>
        </w:rPr>
        <w:sectPr w:rsidR="00BB37AF" w:rsidSect="00790900">
          <w:headerReference w:type="even" r:id="rId8"/>
          <w:headerReference w:type="default" r:id="rId9"/>
          <w:headerReference w:type="first" r:id="rId10"/>
          <w:pgSz w:w="11906" w:h="16838"/>
          <w:pgMar w:top="990" w:right="1016" w:bottom="630" w:left="990" w:header="720" w:footer="720" w:gutter="0"/>
          <w:cols w:space="720"/>
          <w:docGrid w:linePitch="360"/>
        </w:sectPr>
      </w:pPr>
    </w:p>
    <w:p w:rsidR="00BB37AF" w:rsidRPr="00BB37AF" w:rsidRDefault="00BB37AF" w:rsidP="00973E02">
      <w:pPr>
        <w:spacing w:after="240" w:line="240" w:lineRule="auto"/>
        <w:jc w:val="center"/>
        <w:rPr>
          <w:b/>
          <w:sz w:val="28"/>
          <w:szCs w:val="28"/>
        </w:rPr>
      </w:pPr>
      <w:r w:rsidRPr="00BB37AF">
        <w:rPr>
          <w:b/>
          <w:sz w:val="28"/>
          <w:szCs w:val="28"/>
        </w:rPr>
        <w:lastRenderedPageBreak/>
        <w:t>Possible Core components of an emerging practice for supporting communities to lead their own crisis response</w:t>
      </w:r>
    </w:p>
    <w:p w:rsidR="00EB534F" w:rsidRPr="00FA0A4F" w:rsidRDefault="00DC3335" w:rsidP="00973E02">
      <w:pPr>
        <w:jc w:val="center"/>
        <w:rPr>
          <w:sz w:val="24"/>
          <w:szCs w:val="24"/>
          <w:lang w:val="en-US"/>
        </w:rPr>
      </w:pPr>
      <w:r w:rsidRPr="00BB37AF"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8420986" cy="5312410"/>
            <wp:effectExtent l="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400" cy="6400800"/>
                      <a:chOff x="228600" y="228600"/>
                      <a:chExt cx="8915400" cy="6400800"/>
                    </a:xfrm>
                  </a:grpSpPr>
                  <a:sp>
                    <a:nvSpPr>
                      <a:cNvPr id="97" name="Rounded Rectangle 96"/>
                      <a:cNvSpPr/>
                    </a:nvSpPr>
                    <a:spPr>
                      <a:xfrm>
                        <a:off x="3352800" y="5257800"/>
                        <a:ext cx="2438400" cy="1066800"/>
                      </a:xfrm>
                      <a:prstGeom prst="roundRect">
                        <a:avLst/>
                      </a:prstGeom>
                      <a:solidFill>
                        <a:srgbClr val="FF99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Wave 25"/>
                      <a:cNvSpPr/>
                    </a:nvSpPr>
                    <a:spPr>
                      <a:xfrm>
                        <a:off x="381000" y="2286000"/>
                        <a:ext cx="2286000" cy="1676400"/>
                      </a:xfrm>
                      <a:prstGeom prst="wave">
                        <a:avLst/>
                      </a:prstGeom>
                      <a:solidFill>
                        <a:srgbClr val="FF33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Oval 24"/>
                      <a:cNvSpPr/>
                    </a:nvSpPr>
                    <a:spPr>
                      <a:xfrm>
                        <a:off x="457200" y="4114800"/>
                        <a:ext cx="2362200" cy="228600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Oval 22"/>
                      <a:cNvSpPr/>
                    </a:nvSpPr>
                    <a:spPr>
                      <a:xfrm>
                        <a:off x="6705600" y="4724400"/>
                        <a:ext cx="1981200" cy="175260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Oval 21"/>
                      <a:cNvSpPr/>
                    </a:nvSpPr>
                    <a:spPr>
                      <a:xfrm>
                        <a:off x="6019800" y="685800"/>
                        <a:ext cx="2895600" cy="34290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Oval 20"/>
                      <a:cNvSpPr/>
                    </a:nvSpPr>
                    <a:spPr>
                      <a:xfrm>
                        <a:off x="3352800" y="762000"/>
                        <a:ext cx="2133600" cy="1219200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Oval 19"/>
                      <a:cNvSpPr/>
                    </a:nvSpPr>
                    <a:spPr>
                      <a:xfrm>
                        <a:off x="304800" y="381000"/>
                        <a:ext cx="2590800" cy="152400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Flowchart: Merge 18"/>
                      <a:cNvSpPr/>
                    </a:nvSpPr>
                    <a:spPr>
                      <a:xfrm>
                        <a:off x="3200400" y="2667000"/>
                        <a:ext cx="2590800" cy="2286000"/>
                      </a:xfrm>
                      <a:prstGeom prst="flowChartMerge">
                        <a:avLst/>
                      </a:prstGeom>
                      <a:solidFill>
                        <a:srgbClr val="92D050"/>
                      </a:solidFill>
                      <a:ln w="57150">
                        <a:solidFill>
                          <a:srgbClr val="0066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228600" y="228600"/>
                        <a:ext cx="8915400" cy="6400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r>
                            <a:rPr lang="en-US" dirty="0" smtClean="0"/>
                            <a:t>  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6400800" y="1143000"/>
                        <a:ext cx="2514600" cy="253915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>
                            <a:buNone/>
                          </a:pPr>
                          <a:r>
                            <a:rPr lang="en-US" dirty="0" smtClean="0"/>
                            <a:t>Rapid provision </a:t>
                          </a:r>
                        </a:p>
                        <a:p>
                          <a:pPr lvl="0">
                            <a:spcAft>
                              <a:spcPts val="600"/>
                            </a:spcAft>
                            <a:buNone/>
                          </a:pPr>
                          <a:r>
                            <a:rPr lang="en-US" dirty="0" smtClean="0"/>
                            <a:t>of relevant emergency  skills up-grading: </a:t>
                          </a:r>
                        </a:p>
                        <a:p>
                          <a:pPr marL="65088" lvl="0" indent="-65088">
                            <a:spcAft>
                              <a:spcPts val="600"/>
                            </a:spcAft>
                            <a:buNone/>
                          </a:pPr>
                          <a:r>
                            <a:rPr lang="en-US" dirty="0" smtClean="0"/>
                            <a:t>- context specific tech &amp; management</a:t>
                          </a:r>
                        </a:p>
                        <a:p>
                          <a:pPr marL="65088" lvl="0" indent="-65088">
                            <a:spcAft>
                              <a:spcPts val="600"/>
                            </a:spcAft>
                            <a:buNone/>
                          </a:pPr>
                          <a:r>
                            <a:rPr lang="en-US" dirty="0" smtClean="0"/>
                            <a:t>- </a:t>
                          </a:r>
                          <a:r>
                            <a:rPr lang="en-GB" dirty="0" smtClean="0"/>
                            <a:t>psycho-social response</a:t>
                          </a:r>
                        </a:p>
                        <a:p>
                          <a:pPr marL="114300" lvl="0" indent="-114300">
                            <a:spcAft>
                              <a:spcPts val="600"/>
                            </a:spcAft>
                            <a:buNone/>
                          </a:pPr>
                          <a:r>
                            <a:rPr lang="en-GB" dirty="0" smtClean="0"/>
                            <a:t>- conflict analysis &amp; resolution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3352800" y="5334000"/>
                        <a:ext cx="23622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dirty="0" smtClean="0"/>
                            <a:t>Locally-relevant coordination services (horizontal &amp; vertical)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6934200" y="5029200"/>
                        <a:ext cx="16002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dirty="0" smtClean="0"/>
                            <a:t>Connecting, networking, alliances (inc. private sector)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457200" y="2438400"/>
                        <a:ext cx="21336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b="1" dirty="0" smtClean="0"/>
                            <a:t>Changes in </a:t>
                          </a:r>
                        </a:p>
                        <a:p>
                          <a:r>
                            <a:rPr lang="en-GB" b="1" dirty="0" smtClean="0"/>
                            <a:t>Institutional roles, relationships, </a:t>
                          </a:r>
                        </a:p>
                        <a:p>
                          <a:r>
                            <a:rPr lang="en-GB" b="1" dirty="0" smtClean="0"/>
                            <a:t>              and systems</a:t>
                          </a:r>
                          <a:endParaRPr lang="en-GB" b="1" dirty="0"/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3581400" y="2667000"/>
                        <a:ext cx="1828800" cy="138499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100" b="1" dirty="0" smtClean="0"/>
                            <a:t>Autonomous  self-help by crisis affected  </a:t>
                          </a:r>
                        </a:p>
                        <a:p>
                          <a:pPr algn="ctr"/>
                          <a:r>
                            <a:rPr lang="en-US" sz="2100" b="1" dirty="0" smtClean="0"/>
                            <a:t>people</a:t>
                          </a:r>
                          <a:endParaRPr lang="en-GB" sz="2100" b="1" dirty="0"/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685800" y="4572000"/>
                        <a:ext cx="2286000" cy="14773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dirty="0" smtClean="0"/>
                            <a:t> Support for locally-led longer term processes to address root causes of vulnerability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3810000" y="914400"/>
                        <a:ext cx="14478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Collective emergency micro-grants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381000" y="685800"/>
                        <a:ext cx="26670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Community–based information, mobilisation  &amp; learning systems </a:t>
                          </a:r>
                          <a:endParaRPr lang="en-GB" dirty="0"/>
                        </a:p>
                      </a:txBody>
                      <a:useSpRect/>
                    </a:txSp>
                  </a:sp>
                  <a:cxnSp>
                    <a:nvCxnSpPr>
                      <a:cNvPr id="28" name="Straight Arrow Connector 27"/>
                      <a:cNvCxnSpPr/>
                    </a:nvCxnSpPr>
                    <a:spPr>
                      <a:xfrm>
                        <a:off x="2514600" y="1752600"/>
                        <a:ext cx="684214" cy="90898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Arrow Connector 31"/>
                      <a:cNvCxnSpPr>
                        <a:stCxn id="21" idx="4"/>
                      </a:cNvCxnSpPr>
                    </a:nvCxnSpPr>
                    <a:spPr>
                      <a:xfrm>
                        <a:off x="4419600" y="1981200"/>
                        <a:ext cx="0" cy="6096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Arrow Connector 33"/>
                      <a:cNvCxnSpPr/>
                    </a:nvCxnSpPr>
                    <a:spPr>
                      <a:xfrm flipH="1" flipV="1">
                        <a:off x="5562600" y="3124200"/>
                        <a:ext cx="609600" cy="762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Arrow Connector 35"/>
                      <a:cNvCxnSpPr/>
                    </a:nvCxnSpPr>
                    <a:spPr>
                      <a:xfrm flipH="1" flipV="1">
                        <a:off x="5181600" y="4038600"/>
                        <a:ext cx="1600200" cy="11430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Straight Arrow Connector 37"/>
                      <a:cNvCxnSpPr/>
                    </a:nvCxnSpPr>
                    <a:spPr>
                      <a:xfrm flipV="1">
                        <a:off x="2667000" y="4038600"/>
                        <a:ext cx="990600" cy="6096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8" name="Curved Left Arrow 97"/>
                      <a:cNvSpPr/>
                    </a:nvSpPr>
                    <a:spPr>
                      <a:xfrm flipH="1">
                        <a:off x="3886200" y="4572000"/>
                        <a:ext cx="381000" cy="685800"/>
                      </a:xfrm>
                      <a:prstGeom prst="curved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0" name="Curved Right Arrow 99"/>
                      <a:cNvSpPr/>
                    </a:nvSpPr>
                    <a:spPr>
                      <a:xfrm rot="11027840">
                        <a:off x="4745908" y="4583846"/>
                        <a:ext cx="379697" cy="662108"/>
                      </a:xfrm>
                      <a:prstGeom prst="curv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" name="Down Arrow 104"/>
                      <a:cNvSpPr/>
                    </a:nvSpPr>
                    <a:spPr>
                      <a:xfrm rot="3304455">
                        <a:off x="3016354" y="6073589"/>
                        <a:ext cx="139492" cy="924922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6" name="Down Arrow 105"/>
                      <a:cNvSpPr/>
                    </a:nvSpPr>
                    <a:spPr>
                      <a:xfrm rot="18434311">
                        <a:off x="6144411" y="5947757"/>
                        <a:ext cx="105640" cy="963846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EB534F" w:rsidRPr="00FA0A4F" w:rsidSect="00973E02">
      <w:pgSz w:w="16838" w:h="11906" w:orient="landscape"/>
      <w:pgMar w:top="1015" w:right="629" w:bottom="99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28" w:rsidRDefault="00390428" w:rsidP="007A7C36">
      <w:pPr>
        <w:spacing w:after="0" w:line="240" w:lineRule="auto"/>
      </w:pPr>
      <w:r>
        <w:separator/>
      </w:r>
    </w:p>
  </w:endnote>
  <w:endnote w:type="continuationSeparator" w:id="0">
    <w:p w:rsidR="00390428" w:rsidRDefault="00390428" w:rsidP="007A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28" w:rsidRDefault="00390428" w:rsidP="007A7C36">
      <w:pPr>
        <w:spacing w:after="0" w:line="240" w:lineRule="auto"/>
      </w:pPr>
      <w:r>
        <w:separator/>
      </w:r>
    </w:p>
  </w:footnote>
  <w:footnote w:type="continuationSeparator" w:id="0">
    <w:p w:rsidR="00390428" w:rsidRDefault="00390428" w:rsidP="007A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AF" w:rsidRDefault="00BB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1B" w:rsidRDefault="0019061B">
    <w:pPr>
      <w:pStyle w:val="Header"/>
      <w:jc w:val="right"/>
    </w:pPr>
    <w:r>
      <w:t>Intro #</w:t>
    </w:r>
    <w:sdt>
      <w:sdtPr>
        <w:id w:val="4841342"/>
        <w:docPartObj>
          <w:docPartGallery w:val="Page Numbers (Top of Page)"/>
          <w:docPartUnique/>
        </w:docPartObj>
      </w:sdtPr>
      <w:sdtEndPr/>
      <w:sdtContent>
        <w:r w:rsidR="00390428">
          <w:fldChar w:fldCharType="begin"/>
        </w:r>
        <w:r w:rsidR="00390428">
          <w:instrText xml:space="preserve"> PAGE   \* MERGEFORMAT </w:instrText>
        </w:r>
        <w:r w:rsidR="00390428">
          <w:fldChar w:fldCharType="separate"/>
        </w:r>
        <w:r w:rsidR="001C7FF1">
          <w:rPr>
            <w:noProof/>
          </w:rPr>
          <w:t>4</w:t>
        </w:r>
        <w:r w:rsidR="00390428">
          <w:rPr>
            <w:noProof/>
          </w:rPr>
          <w:fldChar w:fldCharType="end"/>
        </w:r>
      </w:sdtContent>
    </w:sdt>
  </w:p>
  <w:p w:rsidR="00BB37AF" w:rsidRDefault="00BB37AF" w:rsidP="000601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AF" w:rsidRDefault="00BB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9BD"/>
    <w:multiLevelType w:val="hybridMultilevel"/>
    <w:tmpl w:val="52366E28"/>
    <w:lvl w:ilvl="0" w:tplc="320083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6AC"/>
    <w:multiLevelType w:val="hybridMultilevel"/>
    <w:tmpl w:val="F5989264"/>
    <w:lvl w:ilvl="0" w:tplc="871E2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4B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D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69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80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8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07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2B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02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12113"/>
    <w:multiLevelType w:val="hybridMultilevel"/>
    <w:tmpl w:val="7CBA7D6C"/>
    <w:lvl w:ilvl="0" w:tplc="0B2CE108">
      <w:start w:val="1"/>
      <w:numFmt w:val="decimal"/>
      <w:lvlText w:val="Step %1: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796"/>
    <w:multiLevelType w:val="hybridMultilevel"/>
    <w:tmpl w:val="DE9C95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0C9B"/>
    <w:multiLevelType w:val="hybridMultilevel"/>
    <w:tmpl w:val="CD9EAB88"/>
    <w:lvl w:ilvl="0" w:tplc="05167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8FB"/>
    <w:multiLevelType w:val="hybridMultilevel"/>
    <w:tmpl w:val="09D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E018C"/>
    <w:multiLevelType w:val="hybridMultilevel"/>
    <w:tmpl w:val="0DC4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201D1"/>
    <w:multiLevelType w:val="hybridMultilevel"/>
    <w:tmpl w:val="BED80D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4A4103"/>
    <w:multiLevelType w:val="hybridMultilevel"/>
    <w:tmpl w:val="8188C07A"/>
    <w:lvl w:ilvl="0" w:tplc="CB6EBE5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C4386"/>
    <w:multiLevelType w:val="hybridMultilevel"/>
    <w:tmpl w:val="5B4A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3CE4"/>
    <w:multiLevelType w:val="hybridMultilevel"/>
    <w:tmpl w:val="0E5A0368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24801"/>
    <w:multiLevelType w:val="multilevel"/>
    <w:tmpl w:val="528881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8A119D2"/>
    <w:multiLevelType w:val="hybridMultilevel"/>
    <w:tmpl w:val="9E386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C6CB1"/>
    <w:multiLevelType w:val="hybridMultilevel"/>
    <w:tmpl w:val="43BAA77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57BB"/>
    <w:multiLevelType w:val="multilevel"/>
    <w:tmpl w:val="52888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240DC9"/>
    <w:multiLevelType w:val="hybridMultilevel"/>
    <w:tmpl w:val="38F2F5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F50F1"/>
    <w:multiLevelType w:val="multilevel"/>
    <w:tmpl w:val="04161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784D1C"/>
    <w:multiLevelType w:val="hybridMultilevel"/>
    <w:tmpl w:val="E1145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87011"/>
    <w:multiLevelType w:val="hybridMultilevel"/>
    <w:tmpl w:val="3AEE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B0220"/>
    <w:multiLevelType w:val="hybridMultilevel"/>
    <w:tmpl w:val="A65EF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530A8"/>
    <w:multiLevelType w:val="hybridMultilevel"/>
    <w:tmpl w:val="EECA3D5E"/>
    <w:lvl w:ilvl="0" w:tplc="92A66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70691"/>
    <w:multiLevelType w:val="hybridMultilevel"/>
    <w:tmpl w:val="39CA7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84E099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32C64"/>
    <w:multiLevelType w:val="multilevel"/>
    <w:tmpl w:val="52888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C16D7D"/>
    <w:multiLevelType w:val="hybridMultilevel"/>
    <w:tmpl w:val="3572DF4C"/>
    <w:lvl w:ilvl="0" w:tplc="1B945D70">
      <w:start w:val="1"/>
      <w:numFmt w:val="lowerRoman"/>
      <w:lvlText w:val="    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6EC8"/>
    <w:multiLevelType w:val="hybridMultilevel"/>
    <w:tmpl w:val="55421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566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4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54E9F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5F7C80"/>
    <w:multiLevelType w:val="hybridMultilevel"/>
    <w:tmpl w:val="1318CAFA"/>
    <w:lvl w:ilvl="0" w:tplc="9738B6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C1876"/>
    <w:multiLevelType w:val="hybridMultilevel"/>
    <w:tmpl w:val="5A1C610E"/>
    <w:lvl w:ilvl="0" w:tplc="E45660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55685"/>
    <w:multiLevelType w:val="hybridMultilevel"/>
    <w:tmpl w:val="F90E1E62"/>
    <w:lvl w:ilvl="0" w:tplc="F3189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C1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6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45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EC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41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C6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6E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C2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BF6CDE"/>
    <w:multiLevelType w:val="hybridMultilevel"/>
    <w:tmpl w:val="8DAC64E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644F43"/>
    <w:multiLevelType w:val="hybridMultilevel"/>
    <w:tmpl w:val="E26E5C18"/>
    <w:lvl w:ilvl="0" w:tplc="A050C74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320EE"/>
    <w:multiLevelType w:val="hybridMultilevel"/>
    <w:tmpl w:val="0AB2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312D7"/>
    <w:multiLevelType w:val="hybridMultilevel"/>
    <w:tmpl w:val="0E5A0368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C513F"/>
    <w:multiLevelType w:val="hybridMultilevel"/>
    <w:tmpl w:val="8F702190"/>
    <w:lvl w:ilvl="0" w:tplc="CB6EBE5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57EA6"/>
    <w:multiLevelType w:val="hybridMultilevel"/>
    <w:tmpl w:val="E5742418"/>
    <w:lvl w:ilvl="0" w:tplc="60CE3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E7A0A"/>
    <w:multiLevelType w:val="hybridMultilevel"/>
    <w:tmpl w:val="E884A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762FE"/>
    <w:multiLevelType w:val="hybridMultilevel"/>
    <w:tmpl w:val="FE5EEA24"/>
    <w:lvl w:ilvl="0" w:tplc="CB6EBE5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E6949"/>
    <w:multiLevelType w:val="hybridMultilevel"/>
    <w:tmpl w:val="E30CE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11F1A"/>
    <w:multiLevelType w:val="multilevel"/>
    <w:tmpl w:val="528881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F6832ED"/>
    <w:multiLevelType w:val="hybridMultilevel"/>
    <w:tmpl w:val="F3F24C66"/>
    <w:lvl w:ilvl="0" w:tplc="559A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2E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08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4C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24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CC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A1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EA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62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A31EF4"/>
    <w:multiLevelType w:val="hybridMultilevel"/>
    <w:tmpl w:val="A3847C6C"/>
    <w:lvl w:ilvl="0" w:tplc="5E74F02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FB6447A"/>
    <w:multiLevelType w:val="multilevel"/>
    <w:tmpl w:val="9760B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18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24"/>
  </w:num>
  <w:num w:numId="12">
    <w:abstractNumId w:val="26"/>
  </w:num>
  <w:num w:numId="13">
    <w:abstractNumId w:val="10"/>
  </w:num>
  <w:num w:numId="14">
    <w:abstractNumId w:val="39"/>
  </w:num>
  <w:num w:numId="15">
    <w:abstractNumId w:val="31"/>
  </w:num>
  <w:num w:numId="16">
    <w:abstractNumId w:val="20"/>
  </w:num>
  <w:num w:numId="17">
    <w:abstractNumId w:val="3"/>
  </w:num>
  <w:num w:numId="18">
    <w:abstractNumId w:val="15"/>
  </w:num>
  <w:num w:numId="19">
    <w:abstractNumId w:val="34"/>
  </w:num>
  <w:num w:numId="20">
    <w:abstractNumId w:val="17"/>
  </w:num>
  <w:num w:numId="21">
    <w:abstractNumId w:val="23"/>
  </w:num>
  <w:num w:numId="22">
    <w:abstractNumId w:val="19"/>
  </w:num>
  <w:num w:numId="23">
    <w:abstractNumId w:val="33"/>
  </w:num>
  <w:num w:numId="24">
    <w:abstractNumId w:val="4"/>
  </w:num>
  <w:num w:numId="25">
    <w:abstractNumId w:val="35"/>
  </w:num>
  <w:num w:numId="26">
    <w:abstractNumId w:val="25"/>
  </w:num>
  <w:num w:numId="27">
    <w:abstractNumId w:val="29"/>
  </w:num>
  <w:num w:numId="28">
    <w:abstractNumId w:val="32"/>
  </w:num>
  <w:num w:numId="29">
    <w:abstractNumId w:val="13"/>
  </w:num>
  <w:num w:numId="30">
    <w:abstractNumId w:val="38"/>
  </w:num>
  <w:num w:numId="31">
    <w:abstractNumId w:val="21"/>
  </w:num>
  <w:num w:numId="32">
    <w:abstractNumId w:val="28"/>
  </w:num>
  <w:num w:numId="33">
    <w:abstractNumId w:val="1"/>
  </w:num>
  <w:num w:numId="34">
    <w:abstractNumId w:val="27"/>
  </w:num>
  <w:num w:numId="35">
    <w:abstractNumId w:val="40"/>
  </w:num>
  <w:num w:numId="36">
    <w:abstractNumId w:val="16"/>
  </w:num>
  <w:num w:numId="37">
    <w:abstractNumId w:val="22"/>
  </w:num>
  <w:num w:numId="38">
    <w:abstractNumId w:val="14"/>
  </w:num>
  <w:num w:numId="39">
    <w:abstractNumId w:val="37"/>
  </w:num>
  <w:num w:numId="40">
    <w:abstractNumId w:val="11"/>
  </w:num>
  <w:num w:numId="41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73E"/>
    <w:rsid w:val="00001EFA"/>
    <w:rsid w:val="000047FE"/>
    <w:rsid w:val="00005EE1"/>
    <w:rsid w:val="00014DF3"/>
    <w:rsid w:val="000177AC"/>
    <w:rsid w:val="0004320F"/>
    <w:rsid w:val="000579D2"/>
    <w:rsid w:val="00060174"/>
    <w:rsid w:val="00063705"/>
    <w:rsid w:val="00071634"/>
    <w:rsid w:val="000719D1"/>
    <w:rsid w:val="0007326D"/>
    <w:rsid w:val="00091928"/>
    <w:rsid w:val="00092E02"/>
    <w:rsid w:val="000A31E2"/>
    <w:rsid w:val="000A72DF"/>
    <w:rsid w:val="000B404B"/>
    <w:rsid w:val="000C5ACF"/>
    <w:rsid w:val="000E04F5"/>
    <w:rsid w:val="000E314B"/>
    <w:rsid w:val="000E415C"/>
    <w:rsid w:val="000F0DCF"/>
    <w:rsid w:val="000F7C69"/>
    <w:rsid w:val="00100319"/>
    <w:rsid w:val="00100C69"/>
    <w:rsid w:val="00102EEC"/>
    <w:rsid w:val="0010329B"/>
    <w:rsid w:val="00110FDC"/>
    <w:rsid w:val="001135DC"/>
    <w:rsid w:val="001263FE"/>
    <w:rsid w:val="001508BE"/>
    <w:rsid w:val="001526BF"/>
    <w:rsid w:val="00156A11"/>
    <w:rsid w:val="001662F1"/>
    <w:rsid w:val="00182BDF"/>
    <w:rsid w:val="00184C80"/>
    <w:rsid w:val="0018666D"/>
    <w:rsid w:val="001875A8"/>
    <w:rsid w:val="0019061B"/>
    <w:rsid w:val="0019100B"/>
    <w:rsid w:val="001B191B"/>
    <w:rsid w:val="001B42D8"/>
    <w:rsid w:val="001B60C7"/>
    <w:rsid w:val="001B7D92"/>
    <w:rsid w:val="001C7FF1"/>
    <w:rsid w:val="001E3F3D"/>
    <w:rsid w:val="001E54A8"/>
    <w:rsid w:val="001E6CF8"/>
    <w:rsid w:val="001F2D3A"/>
    <w:rsid w:val="0020202C"/>
    <w:rsid w:val="00203B3A"/>
    <w:rsid w:val="00205EF5"/>
    <w:rsid w:val="0022272E"/>
    <w:rsid w:val="002307A6"/>
    <w:rsid w:val="002310A9"/>
    <w:rsid w:val="00251C31"/>
    <w:rsid w:val="002655FD"/>
    <w:rsid w:val="00282A3A"/>
    <w:rsid w:val="002900A1"/>
    <w:rsid w:val="00294DC8"/>
    <w:rsid w:val="00297BF9"/>
    <w:rsid w:val="002A42D7"/>
    <w:rsid w:val="002B15ED"/>
    <w:rsid w:val="002B1966"/>
    <w:rsid w:val="002B37DC"/>
    <w:rsid w:val="002B48E9"/>
    <w:rsid w:val="002C75DB"/>
    <w:rsid w:val="002C763F"/>
    <w:rsid w:val="002D4CB3"/>
    <w:rsid w:val="002D6ECC"/>
    <w:rsid w:val="002F24B2"/>
    <w:rsid w:val="002F3FBA"/>
    <w:rsid w:val="002F7A41"/>
    <w:rsid w:val="00314C17"/>
    <w:rsid w:val="00315654"/>
    <w:rsid w:val="00316211"/>
    <w:rsid w:val="00316860"/>
    <w:rsid w:val="00320196"/>
    <w:rsid w:val="003231DF"/>
    <w:rsid w:val="00324A48"/>
    <w:rsid w:val="0032623B"/>
    <w:rsid w:val="003267A5"/>
    <w:rsid w:val="0033431D"/>
    <w:rsid w:val="00334AD1"/>
    <w:rsid w:val="003354B2"/>
    <w:rsid w:val="00352732"/>
    <w:rsid w:val="00356B3F"/>
    <w:rsid w:val="00356BFA"/>
    <w:rsid w:val="00375DF7"/>
    <w:rsid w:val="00377F98"/>
    <w:rsid w:val="00383CCB"/>
    <w:rsid w:val="003859A0"/>
    <w:rsid w:val="00385AA8"/>
    <w:rsid w:val="00386472"/>
    <w:rsid w:val="00386CD5"/>
    <w:rsid w:val="00386D26"/>
    <w:rsid w:val="0038710D"/>
    <w:rsid w:val="00387F26"/>
    <w:rsid w:val="00390428"/>
    <w:rsid w:val="003940E2"/>
    <w:rsid w:val="003A1395"/>
    <w:rsid w:val="003B1594"/>
    <w:rsid w:val="003B763A"/>
    <w:rsid w:val="003C2BDA"/>
    <w:rsid w:val="003C6E4D"/>
    <w:rsid w:val="003D0191"/>
    <w:rsid w:val="003D71A3"/>
    <w:rsid w:val="003E0DB9"/>
    <w:rsid w:val="003E2EC4"/>
    <w:rsid w:val="003E6959"/>
    <w:rsid w:val="003E7A1E"/>
    <w:rsid w:val="0040768C"/>
    <w:rsid w:val="004120E1"/>
    <w:rsid w:val="004127D6"/>
    <w:rsid w:val="00416930"/>
    <w:rsid w:val="00424F44"/>
    <w:rsid w:val="0042687F"/>
    <w:rsid w:val="004300D5"/>
    <w:rsid w:val="0043115C"/>
    <w:rsid w:val="004327DB"/>
    <w:rsid w:val="004429E1"/>
    <w:rsid w:val="00460BC6"/>
    <w:rsid w:val="004713CC"/>
    <w:rsid w:val="00474256"/>
    <w:rsid w:val="00476233"/>
    <w:rsid w:val="0048109F"/>
    <w:rsid w:val="004846AA"/>
    <w:rsid w:val="00492E38"/>
    <w:rsid w:val="004944ED"/>
    <w:rsid w:val="004B02D2"/>
    <w:rsid w:val="004B1C3A"/>
    <w:rsid w:val="004B3FFD"/>
    <w:rsid w:val="004B605C"/>
    <w:rsid w:val="004B6D4A"/>
    <w:rsid w:val="004C31AF"/>
    <w:rsid w:val="004C44FC"/>
    <w:rsid w:val="004C505E"/>
    <w:rsid w:val="004C5DBE"/>
    <w:rsid w:val="004E4FB7"/>
    <w:rsid w:val="004E5ECC"/>
    <w:rsid w:val="004F3674"/>
    <w:rsid w:val="004F45D0"/>
    <w:rsid w:val="004F69AA"/>
    <w:rsid w:val="005010BA"/>
    <w:rsid w:val="00507FD1"/>
    <w:rsid w:val="00510AC9"/>
    <w:rsid w:val="00513140"/>
    <w:rsid w:val="00515F18"/>
    <w:rsid w:val="005163F7"/>
    <w:rsid w:val="00517290"/>
    <w:rsid w:val="00523AE7"/>
    <w:rsid w:val="00525118"/>
    <w:rsid w:val="005344FE"/>
    <w:rsid w:val="00537EA6"/>
    <w:rsid w:val="00542690"/>
    <w:rsid w:val="005503EE"/>
    <w:rsid w:val="0055075D"/>
    <w:rsid w:val="005559B0"/>
    <w:rsid w:val="00563069"/>
    <w:rsid w:val="00563BF0"/>
    <w:rsid w:val="0056582C"/>
    <w:rsid w:val="005668E0"/>
    <w:rsid w:val="0057179F"/>
    <w:rsid w:val="00574EC4"/>
    <w:rsid w:val="005778C0"/>
    <w:rsid w:val="005835BF"/>
    <w:rsid w:val="0059051D"/>
    <w:rsid w:val="00597702"/>
    <w:rsid w:val="005A360C"/>
    <w:rsid w:val="005B1143"/>
    <w:rsid w:val="005C3762"/>
    <w:rsid w:val="005C4569"/>
    <w:rsid w:val="005D1D6F"/>
    <w:rsid w:val="005D2269"/>
    <w:rsid w:val="005D7BD6"/>
    <w:rsid w:val="005E2125"/>
    <w:rsid w:val="005E5822"/>
    <w:rsid w:val="005F24C9"/>
    <w:rsid w:val="005F349C"/>
    <w:rsid w:val="00610717"/>
    <w:rsid w:val="00613B01"/>
    <w:rsid w:val="00623C90"/>
    <w:rsid w:val="00625621"/>
    <w:rsid w:val="006318A9"/>
    <w:rsid w:val="0063273E"/>
    <w:rsid w:val="00635F31"/>
    <w:rsid w:val="0064115D"/>
    <w:rsid w:val="006573EA"/>
    <w:rsid w:val="00661860"/>
    <w:rsid w:val="00662B0C"/>
    <w:rsid w:val="00663392"/>
    <w:rsid w:val="0066372C"/>
    <w:rsid w:val="0066557D"/>
    <w:rsid w:val="00676D96"/>
    <w:rsid w:val="006A6CE0"/>
    <w:rsid w:val="006B15EC"/>
    <w:rsid w:val="006B26C3"/>
    <w:rsid w:val="006B2896"/>
    <w:rsid w:val="006B453A"/>
    <w:rsid w:val="006C3E6C"/>
    <w:rsid w:val="006D3C8F"/>
    <w:rsid w:val="006D4A60"/>
    <w:rsid w:val="006D6B32"/>
    <w:rsid w:val="006E43A4"/>
    <w:rsid w:val="006E47BF"/>
    <w:rsid w:val="006E7038"/>
    <w:rsid w:val="006F4083"/>
    <w:rsid w:val="007020C9"/>
    <w:rsid w:val="00707BB0"/>
    <w:rsid w:val="00727423"/>
    <w:rsid w:val="00732FAD"/>
    <w:rsid w:val="00735119"/>
    <w:rsid w:val="00745F01"/>
    <w:rsid w:val="007559DC"/>
    <w:rsid w:val="00760DD5"/>
    <w:rsid w:val="007749B9"/>
    <w:rsid w:val="00774BED"/>
    <w:rsid w:val="00775F39"/>
    <w:rsid w:val="00786A42"/>
    <w:rsid w:val="00787F40"/>
    <w:rsid w:val="00790900"/>
    <w:rsid w:val="00790FD0"/>
    <w:rsid w:val="0079139F"/>
    <w:rsid w:val="00792D83"/>
    <w:rsid w:val="007A3E3C"/>
    <w:rsid w:val="007A7C36"/>
    <w:rsid w:val="007B4E50"/>
    <w:rsid w:val="007B7D08"/>
    <w:rsid w:val="007C65CC"/>
    <w:rsid w:val="007C79C1"/>
    <w:rsid w:val="007E34BA"/>
    <w:rsid w:val="007E3F5F"/>
    <w:rsid w:val="007F0820"/>
    <w:rsid w:val="007F77CC"/>
    <w:rsid w:val="008142E5"/>
    <w:rsid w:val="008218B5"/>
    <w:rsid w:val="00825415"/>
    <w:rsid w:val="00844557"/>
    <w:rsid w:val="00847A5B"/>
    <w:rsid w:val="008521EE"/>
    <w:rsid w:val="00856930"/>
    <w:rsid w:val="00856D29"/>
    <w:rsid w:val="00863F19"/>
    <w:rsid w:val="008641BA"/>
    <w:rsid w:val="00867865"/>
    <w:rsid w:val="00872DF9"/>
    <w:rsid w:val="008829C6"/>
    <w:rsid w:val="00883949"/>
    <w:rsid w:val="00883E46"/>
    <w:rsid w:val="0089010A"/>
    <w:rsid w:val="008A245F"/>
    <w:rsid w:val="008A258B"/>
    <w:rsid w:val="008A51E7"/>
    <w:rsid w:val="008A538C"/>
    <w:rsid w:val="008B36C5"/>
    <w:rsid w:val="008B393B"/>
    <w:rsid w:val="008B4924"/>
    <w:rsid w:val="008B4DAC"/>
    <w:rsid w:val="008C4B50"/>
    <w:rsid w:val="008D1E1B"/>
    <w:rsid w:val="008D3E1E"/>
    <w:rsid w:val="008D4EDF"/>
    <w:rsid w:val="008D641F"/>
    <w:rsid w:val="008E070F"/>
    <w:rsid w:val="008E159F"/>
    <w:rsid w:val="008E2A22"/>
    <w:rsid w:val="008E456D"/>
    <w:rsid w:val="008E4D3B"/>
    <w:rsid w:val="008F205B"/>
    <w:rsid w:val="008F6D91"/>
    <w:rsid w:val="008F7EE2"/>
    <w:rsid w:val="009027C3"/>
    <w:rsid w:val="00905229"/>
    <w:rsid w:val="0090710A"/>
    <w:rsid w:val="00910B6C"/>
    <w:rsid w:val="00916ED5"/>
    <w:rsid w:val="009211A1"/>
    <w:rsid w:val="00926105"/>
    <w:rsid w:val="00951F6B"/>
    <w:rsid w:val="00961D0B"/>
    <w:rsid w:val="00971555"/>
    <w:rsid w:val="00973E02"/>
    <w:rsid w:val="00976905"/>
    <w:rsid w:val="00984817"/>
    <w:rsid w:val="00984919"/>
    <w:rsid w:val="00985BD2"/>
    <w:rsid w:val="00990F7D"/>
    <w:rsid w:val="009941CC"/>
    <w:rsid w:val="009953DE"/>
    <w:rsid w:val="009A2DB2"/>
    <w:rsid w:val="009B1F71"/>
    <w:rsid w:val="009B259A"/>
    <w:rsid w:val="009C0937"/>
    <w:rsid w:val="009C4689"/>
    <w:rsid w:val="009C61D5"/>
    <w:rsid w:val="009C6B7F"/>
    <w:rsid w:val="009C71C0"/>
    <w:rsid w:val="009D4B1F"/>
    <w:rsid w:val="009D514D"/>
    <w:rsid w:val="009D622B"/>
    <w:rsid w:val="009D70AB"/>
    <w:rsid w:val="009E42A8"/>
    <w:rsid w:val="009F3F55"/>
    <w:rsid w:val="009F6734"/>
    <w:rsid w:val="00A14842"/>
    <w:rsid w:val="00A17DBD"/>
    <w:rsid w:val="00A2388D"/>
    <w:rsid w:val="00A42040"/>
    <w:rsid w:val="00A445D1"/>
    <w:rsid w:val="00A535D6"/>
    <w:rsid w:val="00A56527"/>
    <w:rsid w:val="00A60A6F"/>
    <w:rsid w:val="00A62BBC"/>
    <w:rsid w:val="00A64C9B"/>
    <w:rsid w:val="00A70EAF"/>
    <w:rsid w:val="00A73FFF"/>
    <w:rsid w:val="00A74C40"/>
    <w:rsid w:val="00A775D6"/>
    <w:rsid w:val="00A82266"/>
    <w:rsid w:val="00A93AA3"/>
    <w:rsid w:val="00AA0E68"/>
    <w:rsid w:val="00AA0FEE"/>
    <w:rsid w:val="00AA5E8A"/>
    <w:rsid w:val="00AA683E"/>
    <w:rsid w:val="00AB07B1"/>
    <w:rsid w:val="00AB156C"/>
    <w:rsid w:val="00AB4027"/>
    <w:rsid w:val="00AB6FCF"/>
    <w:rsid w:val="00AC0CCA"/>
    <w:rsid w:val="00AC261A"/>
    <w:rsid w:val="00AD2900"/>
    <w:rsid w:val="00AE09E3"/>
    <w:rsid w:val="00AF47A6"/>
    <w:rsid w:val="00AF4F1C"/>
    <w:rsid w:val="00AF54FF"/>
    <w:rsid w:val="00B007D1"/>
    <w:rsid w:val="00B03C2B"/>
    <w:rsid w:val="00B04A53"/>
    <w:rsid w:val="00B13199"/>
    <w:rsid w:val="00B163DE"/>
    <w:rsid w:val="00B340D8"/>
    <w:rsid w:val="00B56BD8"/>
    <w:rsid w:val="00B5796E"/>
    <w:rsid w:val="00B70EF9"/>
    <w:rsid w:val="00B7542D"/>
    <w:rsid w:val="00B764E2"/>
    <w:rsid w:val="00B95581"/>
    <w:rsid w:val="00B95F1C"/>
    <w:rsid w:val="00BA0299"/>
    <w:rsid w:val="00BA6F91"/>
    <w:rsid w:val="00BB37AF"/>
    <w:rsid w:val="00BB721F"/>
    <w:rsid w:val="00BD30F1"/>
    <w:rsid w:val="00BE55F8"/>
    <w:rsid w:val="00BE7EFA"/>
    <w:rsid w:val="00BF13D2"/>
    <w:rsid w:val="00BF2686"/>
    <w:rsid w:val="00BF50E9"/>
    <w:rsid w:val="00C04FFA"/>
    <w:rsid w:val="00C056E1"/>
    <w:rsid w:val="00C06346"/>
    <w:rsid w:val="00C075EF"/>
    <w:rsid w:val="00C12F68"/>
    <w:rsid w:val="00C1462B"/>
    <w:rsid w:val="00C27E6B"/>
    <w:rsid w:val="00C46C37"/>
    <w:rsid w:val="00C52DE2"/>
    <w:rsid w:val="00C64E7D"/>
    <w:rsid w:val="00C67189"/>
    <w:rsid w:val="00C705AB"/>
    <w:rsid w:val="00C73C5C"/>
    <w:rsid w:val="00C75797"/>
    <w:rsid w:val="00C80B13"/>
    <w:rsid w:val="00C82438"/>
    <w:rsid w:val="00C82A5F"/>
    <w:rsid w:val="00C8588B"/>
    <w:rsid w:val="00C85CA5"/>
    <w:rsid w:val="00C960E1"/>
    <w:rsid w:val="00C9631A"/>
    <w:rsid w:val="00CC071F"/>
    <w:rsid w:val="00CD12E9"/>
    <w:rsid w:val="00CD2888"/>
    <w:rsid w:val="00CE1740"/>
    <w:rsid w:val="00CF0D48"/>
    <w:rsid w:val="00CF1FA4"/>
    <w:rsid w:val="00D00A4F"/>
    <w:rsid w:val="00D0331E"/>
    <w:rsid w:val="00D05C4C"/>
    <w:rsid w:val="00D16EB4"/>
    <w:rsid w:val="00D22E73"/>
    <w:rsid w:val="00D253E1"/>
    <w:rsid w:val="00D267D5"/>
    <w:rsid w:val="00D36EAC"/>
    <w:rsid w:val="00D406A4"/>
    <w:rsid w:val="00D44EDE"/>
    <w:rsid w:val="00D466CA"/>
    <w:rsid w:val="00D512B8"/>
    <w:rsid w:val="00D54C63"/>
    <w:rsid w:val="00D714B6"/>
    <w:rsid w:val="00D75F87"/>
    <w:rsid w:val="00D8770E"/>
    <w:rsid w:val="00D97158"/>
    <w:rsid w:val="00DA4197"/>
    <w:rsid w:val="00DA5A64"/>
    <w:rsid w:val="00DA6DC8"/>
    <w:rsid w:val="00DB366F"/>
    <w:rsid w:val="00DB6948"/>
    <w:rsid w:val="00DB6F28"/>
    <w:rsid w:val="00DC3335"/>
    <w:rsid w:val="00DD459B"/>
    <w:rsid w:val="00DD514F"/>
    <w:rsid w:val="00DF36B9"/>
    <w:rsid w:val="00DF6EB8"/>
    <w:rsid w:val="00E02652"/>
    <w:rsid w:val="00E062DE"/>
    <w:rsid w:val="00E11028"/>
    <w:rsid w:val="00E136E4"/>
    <w:rsid w:val="00E140F3"/>
    <w:rsid w:val="00E25564"/>
    <w:rsid w:val="00E2705C"/>
    <w:rsid w:val="00E351C0"/>
    <w:rsid w:val="00E365B9"/>
    <w:rsid w:val="00E408B6"/>
    <w:rsid w:val="00E51859"/>
    <w:rsid w:val="00E55A8B"/>
    <w:rsid w:val="00E57217"/>
    <w:rsid w:val="00E6749A"/>
    <w:rsid w:val="00E67B6F"/>
    <w:rsid w:val="00E73680"/>
    <w:rsid w:val="00E7624A"/>
    <w:rsid w:val="00E82422"/>
    <w:rsid w:val="00E84A70"/>
    <w:rsid w:val="00EA120C"/>
    <w:rsid w:val="00EA1C73"/>
    <w:rsid w:val="00EA567C"/>
    <w:rsid w:val="00EA57D1"/>
    <w:rsid w:val="00EB1A24"/>
    <w:rsid w:val="00EB1B9D"/>
    <w:rsid w:val="00EB534F"/>
    <w:rsid w:val="00EB5F33"/>
    <w:rsid w:val="00EB70B5"/>
    <w:rsid w:val="00EC4FDB"/>
    <w:rsid w:val="00EC6C8C"/>
    <w:rsid w:val="00EE324C"/>
    <w:rsid w:val="00EE389B"/>
    <w:rsid w:val="00EE431E"/>
    <w:rsid w:val="00EE4FE5"/>
    <w:rsid w:val="00EE5F25"/>
    <w:rsid w:val="00EF33E2"/>
    <w:rsid w:val="00EF406F"/>
    <w:rsid w:val="00EF58AC"/>
    <w:rsid w:val="00F060DE"/>
    <w:rsid w:val="00F17D9D"/>
    <w:rsid w:val="00F252BD"/>
    <w:rsid w:val="00F43652"/>
    <w:rsid w:val="00F50F07"/>
    <w:rsid w:val="00F6643A"/>
    <w:rsid w:val="00F72E95"/>
    <w:rsid w:val="00F843A2"/>
    <w:rsid w:val="00F8523E"/>
    <w:rsid w:val="00F86A10"/>
    <w:rsid w:val="00F874E4"/>
    <w:rsid w:val="00F929E0"/>
    <w:rsid w:val="00F96580"/>
    <w:rsid w:val="00F965E3"/>
    <w:rsid w:val="00F97173"/>
    <w:rsid w:val="00F97665"/>
    <w:rsid w:val="00FA0A4F"/>
    <w:rsid w:val="00FA4AF3"/>
    <w:rsid w:val="00FA6F60"/>
    <w:rsid w:val="00FA77BB"/>
    <w:rsid w:val="00FA7E78"/>
    <w:rsid w:val="00FB04B7"/>
    <w:rsid w:val="00FB0ED4"/>
    <w:rsid w:val="00FD0C71"/>
    <w:rsid w:val="00FE1225"/>
    <w:rsid w:val="00FE1417"/>
    <w:rsid w:val="00FE32C3"/>
    <w:rsid w:val="00FE5381"/>
    <w:rsid w:val="00FF0FD4"/>
    <w:rsid w:val="00FF154E"/>
    <w:rsid w:val="00FF272B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4F203"/>
  <w15:docId w15:val="{C5581DC5-48C6-4EE5-9DCA-13AF3CDE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73E"/>
  </w:style>
  <w:style w:type="paragraph" w:styleId="Heading1">
    <w:name w:val="heading 1"/>
    <w:basedOn w:val="Normal"/>
    <w:next w:val="Normal"/>
    <w:link w:val="Heading1Char"/>
    <w:qFormat/>
    <w:rsid w:val="0063273E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3E"/>
    <w:pPr>
      <w:ind w:left="720"/>
      <w:contextualSpacing/>
    </w:pPr>
  </w:style>
  <w:style w:type="table" w:styleId="TableGrid">
    <w:name w:val="Table Grid"/>
    <w:basedOn w:val="TableNormal"/>
    <w:uiPriority w:val="59"/>
    <w:rsid w:val="0063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273E"/>
    <w:rPr>
      <w:rFonts w:eastAsia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rsid w:val="00632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36"/>
  </w:style>
  <w:style w:type="paragraph" w:styleId="Footer">
    <w:name w:val="footer"/>
    <w:basedOn w:val="Normal"/>
    <w:link w:val="FooterChar"/>
    <w:uiPriority w:val="99"/>
    <w:semiHidden/>
    <w:unhideWhenUsed/>
    <w:rsid w:val="007A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C36"/>
  </w:style>
  <w:style w:type="character" w:styleId="CommentReference">
    <w:name w:val="annotation reference"/>
    <w:basedOn w:val="DefaultParagraphFont"/>
    <w:uiPriority w:val="99"/>
    <w:semiHidden/>
    <w:unhideWhenUsed/>
    <w:rsid w:val="00F8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13B01"/>
    <w:pPr>
      <w:spacing w:after="0" w:line="260" w:lineRule="atLeast"/>
    </w:pPr>
    <w:rPr>
      <w:rFonts w:ascii="Arial" w:eastAsia="Times New Roman" w:hAnsi="Arial" w:cs="Arial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B01"/>
    <w:rPr>
      <w:rFonts w:ascii="Arial" w:eastAsia="Times New Roman" w:hAnsi="Arial" w:cs="Arial"/>
      <w:sz w:val="20"/>
      <w:szCs w:val="20"/>
      <w:lang w:eastAsia="nl-NL"/>
    </w:rPr>
  </w:style>
  <w:style w:type="character" w:styleId="FootnoteReference">
    <w:name w:val="footnote reference"/>
    <w:uiPriority w:val="99"/>
    <w:semiHidden/>
    <w:unhideWhenUsed/>
    <w:rsid w:val="00613B0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56B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8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8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2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3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0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2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2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9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0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8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7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0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8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8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2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48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4FE3-D64E-45C7-80F2-DD1AA95D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Mandeep Mudhar</cp:lastModifiedBy>
  <cp:revision>11</cp:revision>
  <dcterms:created xsi:type="dcterms:W3CDTF">2017-10-04T03:51:00Z</dcterms:created>
  <dcterms:modified xsi:type="dcterms:W3CDTF">2018-11-21T12:22:00Z</dcterms:modified>
</cp:coreProperties>
</file>